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5C53" w14:textId="6F5E58BC" w:rsidR="00BA3D9B" w:rsidRPr="00BD7267" w:rsidRDefault="00FF420B" w:rsidP="00BD72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BC8D07" wp14:editId="152D9B78">
            <wp:simplePos x="0" y="0"/>
            <wp:positionH relativeFrom="page">
              <wp:align>left</wp:align>
            </wp:positionH>
            <wp:positionV relativeFrom="paragraph">
              <wp:posOffset>-911542</wp:posOffset>
            </wp:positionV>
            <wp:extent cx="7558088" cy="10683984"/>
            <wp:effectExtent l="0" t="0" r="5080" b="3175"/>
            <wp:wrapNone/>
            <wp:docPr id="1" name="Picture 1" descr="Letterhea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88" cy="1068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267">
        <w:rPr>
          <w:b/>
          <w:sz w:val="28"/>
          <w:szCs w:val="28"/>
        </w:rPr>
        <w:br/>
      </w:r>
      <w:r w:rsidR="00BA3D9B" w:rsidRPr="00F10833">
        <w:rPr>
          <w:b/>
          <w:sz w:val="28"/>
          <w:szCs w:val="28"/>
        </w:rPr>
        <w:t>Company data protection policy</w:t>
      </w:r>
    </w:p>
    <w:p w14:paraId="765D000C" w14:textId="30C8AE90" w:rsidR="005D717F" w:rsidRPr="00BD7267" w:rsidRDefault="00BD7267" w:rsidP="00BA3D9B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FF420B" w:rsidRPr="00BD7267">
        <w:rPr>
          <w:rFonts w:ascii="Arial" w:hAnsi="Arial" w:cs="Arial"/>
          <w:bCs/>
          <w:sz w:val="20"/>
          <w:szCs w:val="20"/>
        </w:rPr>
        <w:t>Version 1</w:t>
      </w:r>
      <w:r w:rsidR="00BA3D9B" w:rsidRPr="00BD7267">
        <w:rPr>
          <w:rFonts w:ascii="Arial" w:hAnsi="Arial" w:cs="Arial"/>
          <w:bCs/>
          <w:sz w:val="20"/>
          <w:szCs w:val="20"/>
        </w:rPr>
        <w:br/>
      </w:r>
      <w:r w:rsidR="00FF420B" w:rsidRPr="00BD7267">
        <w:rPr>
          <w:rFonts w:ascii="Arial" w:hAnsi="Arial" w:cs="Arial"/>
          <w:bCs/>
          <w:sz w:val="16"/>
          <w:szCs w:val="16"/>
        </w:rPr>
        <w:t>1</w:t>
      </w:r>
      <w:r w:rsidR="00FF420B" w:rsidRPr="00BD7267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="00FF420B" w:rsidRPr="00BD7267">
        <w:rPr>
          <w:rFonts w:ascii="Arial" w:hAnsi="Arial" w:cs="Arial"/>
          <w:bCs/>
          <w:sz w:val="16"/>
          <w:szCs w:val="16"/>
        </w:rPr>
        <w:t xml:space="preserve"> July 2020</w:t>
      </w:r>
    </w:p>
    <w:p w14:paraId="088294E8" w14:textId="05FD9C80" w:rsidR="002216AD" w:rsidRPr="00BD7267" w:rsidRDefault="002216AD" w:rsidP="002216AD">
      <w:pPr>
        <w:rPr>
          <w:rFonts w:ascii="Arial" w:hAnsi="Arial" w:cs="Arial"/>
          <w:b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 xml:space="preserve">Introduction </w:t>
      </w:r>
      <w:r w:rsidR="00F10833" w:rsidRPr="00BD7267">
        <w:rPr>
          <w:rFonts w:ascii="Arial" w:hAnsi="Arial" w:cs="Arial"/>
          <w:b/>
          <w:sz w:val="18"/>
          <w:szCs w:val="18"/>
        </w:rPr>
        <w:br/>
      </w:r>
      <w:r w:rsidR="00FF420B" w:rsidRPr="00BD7267">
        <w:rPr>
          <w:rFonts w:ascii="Arial" w:hAnsi="Arial" w:cs="Arial"/>
          <w:sz w:val="18"/>
          <w:szCs w:val="18"/>
        </w:rPr>
        <w:t>Jaccountancy NE Ltd</w:t>
      </w:r>
      <w:r w:rsidR="00C23806" w:rsidRPr="00BD7267">
        <w:rPr>
          <w:rFonts w:ascii="Arial" w:hAnsi="Arial" w:cs="Arial"/>
          <w:sz w:val="18"/>
          <w:szCs w:val="18"/>
        </w:rPr>
        <w:t xml:space="preserve">, </w:t>
      </w:r>
      <w:r w:rsidRPr="00BD7267">
        <w:rPr>
          <w:rFonts w:ascii="Arial" w:hAnsi="Arial" w:cs="Arial"/>
          <w:sz w:val="18"/>
          <w:szCs w:val="18"/>
        </w:rPr>
        <w:t xml:space="preserve">is </w:t>
      </w:r>
      <w:r w:rsidR="00FF420B" w:rsidRPr="00BD7267">
        <w:rPr>
          <w:rFonts w:ascii="Arial" w:hAnsi="Arial" w:cs="Arial"/>
          <w:sz w:val="18"/>
          <w:szCs w:val="18"/>
        </w:rPr>
        <w:t xml:space="preserve">an accounting </w:t>
      </w:r>
      <w:r w:rsidR="00C23806" w:rsidRPr="00BD7267">
        <w:rPr>
          <w:rFonts w:ascii="Arial" w:hAnsi="Arial" w:cs="Arial"/>
          <w:sz w:val="18"/>
          <w:szCs w:val="18"/>
        </w:rPr>
        <w:t>practice</w:t>
      </w:r>
      <w:r w:rsidRPr="00BD7267">
        <w:rPr>
          <w:rFonts w:ascii="Arial" w:hAnsi="Arial" w:cs="Arial"/>
          <w:sz w:val="18"/>
          <w:szCs w:val="18"/>
        </w:rPr>
        <w:t xml:space="preserve"> </w:t>
      </w:r>
      <w:r w:rsidR="00C23806" w:rsidRPr="00BD7267">
        <w:rPr>
          <w:rFonts w:ascii="Arial" w:hAnsi="Arial" w:cs="Arial"/>
          <w:sz w:val="18"/>
          <w:szCs w:val="18"/>
        </w:rPr>
        <w:t>which</w:t>
      </w:r>
      <w:r w:rsidRPr="00BD7267">
        <w:rPr>
          <w:rFonts w:ascii="Arial" w:hAnsi="Arial" w:cs="Arial"/>
          <w:sz w:val="18"/>
          <w:szCs w:val="18"/>
        </w:rPr>
        <w:t xml:space="preserve"> provides </w:t>
      </w:r>
      <w:r w:rsidR="00FF420B" w:rsidRPr="00BD7267">
        <w:rPr>
          <w:rFonts w:ascii="Arial" w:hAnsi="Arial" w:cs="Arial"/>
          <w:sz w:val="18"/>
          <w:szCs w:val="18"/>
        </w:rPr>
        <w:t>Bookkeeping, Accountancy and Taxation</w:t>
      </w:r>
      <w:r w:rsidRPr="00BD7267">
        <w:rPr>
          <w:rFonts w:ascii="Arial" w:hAnsi="Arial" w:cs="Arial"/>
          <w:sz w:val="18"/>
          <w:szCs w:val="18"/>
        </w:rPr>
        <w:t xml:space="preserve"> advice and assistance to its clients. </w:t>
      </w:r>
    </w:p>
    <w:bookmarkStart w:id="0" w:name="_5oigesk2ldc1" w:colFirst="0" w:colLast="0"/>
    <w:bookmarkStart w:id="1" w:name="_sc2hzld14gxb" w:colFirst="0" w:colLast="0"/>
    <w:bookmarkEnd w:id="0"/>
    <w:bookmarkEnd w:id="1"/>
    <w:p w14:paraId="26B02972" w14:textId="26553857" w:rsidR="00BA3D9B" w:rsidRPr="00BD7267" w:rsidRDefault="00503CAE" w:rsidP="00F10833">
      <w:pPr>
        <w:rPr>
          <w:rFonts w:ascii="Arial" w:hAnsi="Arial" w:cs="Arial"/>
          <w:b/>
          <w:bCs/>
          <w:sz w:val="18"/>
          <w:szCs w:val="18"/>
        </w:rPr>
      </w:pPr>
      <w:r w:rsidRPr="00BD7267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5F24F8" wp14:editId="5FC25211">
                <wp:simplePos x="0" y="0"/>
                <wp:positionH relativeFrom="column">
                  <wp:posOffset>7242502</wp:posOffset>
                </wp:positionH>
                <wp:positionV relativeFrom="paragraph">
                  <wp:posOffset>608530</wp:posOffset>
                </wp:positionV>
                <wp:extent cx="11520" cy="2880"/>
                <wp:effectExtent l="57150" t="57150" r="45720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430" cy="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68EB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69.6pt;margin-top:47.2pt;width:2.3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">
                <v:imagedata r:id="rId13" o:title=""/>
              </v:shape>
            </w:pict>
          </mc:Fallback>
        </mc:AlternateContent>
      </w:r>
      <w:r w:rsidR="00BA3D9B" w:rsidRPr="00BD7267">
        <w:rPr>
          <w:rFonts w:ascii="Arial" w:hAnsi="Arial" w:cs="Arial"/>
          <w:b/>
          <w:bCs/>
          <w:sz w:val="18"/>
          <w:szCs w:val="18"/>
        </w:rPr>
        <w:t xml:space="preserve">Policy </w:t>
      </w:r>
      <w:r w:rsidR="00F10833" w:rsidRPr="00BD7267">
        <w:rPr>
          <w:rFonts w:ascii="Arial" w:hAnsi="Arial" w:cs="Arial"/>
          <w:b/>
          <w:bCs/>
          <w:sz w:val="18"/>
          <w:szCs w:val="18"/>
        </w:rPr>
        <w:t>B</w:t>
      </w:r>
      <w:r w:rsidR="00BA3D9B" w:rsidRPr="00BD7267">
        <w:rPr>
          <w:rFonts w:ascii="Arial" w:hAnsi="Arial" w:cs="Arial"/>
          <w:b/>
          <w:bCs/>
          <w:sz w:val="18"/>
          <w:szCs w:val="18"/>
        </w:rPr>
        <w:t xml:space="preserve">rief &amp; </w:t>
      </w:r>
      <w:r w:rsidR="00F10833" w:rsidRPr="00BD7267">
        <w:rPr>
          <w:rFonts w:ascii="Arial" w:hAnsi="Arial" w:cs="Arial"/>
          <w:b/>
          <w:bCs/>
          <w:sz w:val="18"/>
          <w:szCs w:val="18"/>
        </w:rPr>
        <w:t>P</w:t>
      </w:r>
      <w:r w:rsidR="00BA3D9B" w:rsidRPr="00BD7267">
        <w:rPr>
          <w:rFonts w:ascii="Arial" w:hAnsi="Arial" w:cs="Arial"/>
          <w:b/>
          <w:bCs/>
          <w:sz w:val="18"/>
          <w:szCs w:val="18"/>
        </w:rPr>
        <w:t>urpose</w:t>
      </w:r>
      <w:r w:rsidR="00F10833" w:rsidRPr="00BD7267">
        <w:rPr>
          <w:rFonts w:ascii="Arial" w:hAnsi="Arial" w:cs="Arial"/>
          <w:b/>
          <w:bCs/>
          <w:sz w:val="18"/>
          <w:szCs w:val="18"/>
        </w:rPr>
        <w:br/>
      </w:r>
      <w:bookmarkStart w:id="2" w:name="_Hlk44234391"/>
      <w:r w:rsidR="00BA3D9B" w:rsidRPr="00BD7267">
        <w:rPr>
          <w:rFonts w:ascii="Arial" w:hAnsi="Arial" w:cs="Arial"/>
          <w:sz w:val="18"/>
          <w:szCs w:val="18"/>
        </w:rPr>
        <w:t>Our Company Data Protection Policy refers to our commitment to treat information of employees, clients, stakeholders and other interested parties with the utmost care and confidentiality</w:t>
      </w:r>
      <w:bookmarkEnd w:id="2"/>
      <w:r w:rsidR="00BA3D9B" w:rsidRPr="00BD7267">
        <w:rPr>
          <w:rFonts w:ascii="Arial" w:hAnsi="Arial" w:cs="Arial"/>
          <w:sz w:val="18"/>
          <w:szCs w:val="18"/>
        </w:rPr>
        <w:t>.</w:t>
      </w:r>
      <w:r w:rsidR="00F10833" w:rsidRPr="00BD7267">
        <w:rPr>
          <w:rFonts w:ascii="Arial" w:hAnsi="Arial" w:cs="Arial"/>
          <w:b/>
          <w:bCs/>
          <w:sz w:val="18"/>
          <w:szCs w:val="18"/>
        </w:rPr>
        <w:t xml:space="preserve"> </w:t>
      </w:r>
      <w:r w:rsidR="00BA3D9B" w:rsidRPr="00BD7267">
        <w:rPr>
          <w:rFonts w:ascii="Arial" w:hAnsi="Arial" w:cs="Arial"/>
          <w:sz w:val="18"/>
          <w:szCs w:val="18"/>
        </w:rPr>
        <w:t>With this policy, we ensure that we gather, store and handle data fairly, transparently and with respect towards individual rights.</w:t>
      </w:r>
    </w:p>
    <w:bookmarkStart w:id="3" w:name="_26ugejmd9ld" w:colFirst="0" w:colLast="0"/>
    <w:bookmarkStart w:id="4" w:name="_u3ojpirucakz" w:colFirst="0" w:colLast="0"/>
    <w:bookmarkEnd w:id="3"/>
    <w:bookmarkEnd w:id="4"/>
    <w:p w14:paraId="3BE47B90" w14:textId="6D654893" w:rsidR="00BA3D9B" w:rsidRPr="00BD7267" w:rsidRDefault="00503CAE" w:rsidP="00F10833">
      <w:pPr>
        <w:pStyle w:val="Heading3"/>
        <w:keepNext w:val="0"/>
        <w:keepLines w:val="0"/>
        <w:spacing w:before="280"/>
        <w:rPr>
          <w:rFonts w:eastAsiaTheme="minorHAnsi"/>
          <w:b/>
          <w:bCs/>
          <w:color w:val="auto"/>
          <w:sz w:val="14"/>
          <w:szCs w:val="14"/>
          <w:lang w:val="en-GB" w:eastAsia="en-US"/>
        </w:rPr>
      </w:pPr>
      <w:r w:rsidRPr="00BD7267">
        <w:rPr>
          <w:rFonts w:eastAsiaTheme="minorHAnsi"/>
          <w:b/>
          <w:bCs/>
          <w:noProof/>
          <w:color w:val="auto"/>
          <w:sz w:val="18"/>
          <w:szCs w:val="18"/>
          <w:lang w:val="en-GB" w:eastAsia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FB996D4" wp14:editId="3E8E75A6">
                <wp:simplePos x="0" y="0"/>
                <wp:positionH relativeFrom="column">
                  <wp:posOffset>7173022</wp:posOffset>
                </wp:positionH>
                <wp:positionV relativeFrom="paragraph">
                  <wp:posOffset>522158</wp:posOffset>
                </wp:positionV>
                <wp:extent cx="415080" cy="660240"/>
                <wp:effectExtent l="38100" t="38100" r="4254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14655" cy="659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3DDB5" id="Ink 4" o:spid="_x0000_s1026" type="#_x0000_t75" style="position:absolute;margin-left:564.1pt;margin-top:40.4pt;width:34.1pt;height:5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">
                <v:imagedata r:id="rId15" o:title=""/>
              </v:shape>
            </w:pict>
          </mc:Fallback>
        </mc:AlternateContent>
      </w:r>
      <w:r w:rsidR="00BA3D9B" w:rsidRPr="00BD7267">
        <w:rPr>
          <w:rFonts w:eastAsiaTheme="minorHAnsi"/>
          <w:b/>
          <w:bCs/>
          <w:color w:val="auto"/>
          <w:sz w:val="18"/>
          <w:szCs w:val="18"/>
          <w:lang w:val="en-GB" w:eastAsia="en-US"/>
        </w:rPr>
        <w:t>Who is covered under the Data Protection Policy?</w:t>
      </w:r>
      <w:r w:rsidR="00F10833" w:rsidRPr="00BD7267">
        <w:rPr>
          <w:rFonts w:eastAsiaTheme="minorHAnsi"/>
          <w:b/>
          <w:bCs/>
          <w:color w:val="auto"/>
          <w:sz w:val="18"/>
          <w:szCs w:val="18"/>
          <w:lang w:val="en-GB" w:eastAsia="en-US"/>
        </w:rPr>
        <w:br/>
      </w:r>
      <w:r w:rsidR="00BA3D9B" w:rsidRPr="00BD7267">
        <w:rPr>
          <w:sz w:val="18"/>
          <w:szCs w:val="18"/>
        </w:rPr>
        <w:t xml:space="preserve">Workers of our company and its subsidiaries must follow this policy. Contractors, consultants, </w:t>
      </w:r>
      <w:r w:rsidR="00E5104C" w:rsidRPr="00BD7267">
        <w:rPr>
          <w:sz w:val="18"/>
          <w:szCs w:val="18"/>
        </w:rPr>
        <w:t>s</w:t>
      </w:r>
      <w:r w:rsidRPr="00BD7267">
        <w:rPr>
          <w:sz w:val="18"/>
          <w:szCs w:val="18"/>
        </w:rPr>
        <w:t xml:space="preserve">uppliers, </w:t>
      </w:r>
      <w:r w:rsidR="00BA3D9B" w:rsidRPr="00BD7267">
        <w:rPr>
          <w:sz w:val="18"/>
          <w:szCs w:val="18"/>
        </w:rPr>
        <w:t xml:space="preserve">partners and any other external entity are also covered. Generally, our policy refers to anyone we collaborate with or </w:t>
      </w:r>
      <w:r w:rsidR="00BD7267">
        <w:rPr>
          <w:sz w:val="18"/>
          <w:szCs w:val="18"/>
        </w:rPr>
        <w:t xml:space="preserve">who </w:t>
      </w:r>
      <w:r w:rsidR="00BA3D9B" w:rsidRPr="00BD7267">
        <w:rPr>
          <w:sz w:val="18"/>
          <w:szCs w:val="18"/>
        </w:rPr>
        <w:t>acts on our behalf and may need occasional access to our data.</w:t>
      </w:r>
    </w:p>
    <w:p w14:paraId="0C615B40" w14:textId="1D7DDF98" w:rsidR="00BA3D9B" w:rsidRPr="00BD7267" w:rsidRDefault="00BA3D9B" w:rsidP="00F10833">
      <w:pPr>
        <w:pStyle w:val="Heading2"/>
        <w:keepNext w:val="0"/>
        <w:keepLines w:val="0"/>
        <w:spacing w:after="80"/>
        <w:rPr>
          <w:rFonts w:eastAsiaTheme="minorHAnsi"/>
          <w:b/>
          <w:bCs/>
          <w:sz w:val="18"/>
          <w:szCs w:val="18"/>
          <w:lang w:val="en-GB" w:eastAsia="en-US"/>
        </w:rPr>
      </w:pPr>
      <w:bookmarkStart w:id="5" w:name="_qyfnpjj9pg5j" w:colFirst="0" w:colLast="0"/>
      <w:bookmarkEnd w:id="5"/>
      <w:r w:rsidRPr="00BD7267">
        <w:rPr>
          <w:rFonts w:eastAsiaTheme="minorHAnsi"/>
          <w:b/>
          <w:bCs/>
          <w:sz w:val="18"/>
          <w:szCs w:val="18"/>
          <w:lang w:val="en-GB" w:eastAsia="en-US"/>
        </w:rPr>
        <w:t>Policy elements</w:t>
      </w:r>
      <w:r w:rsidR="00F10833" w:rsidRPr="00BD7267">
        <w:rPr>
          <w:rFonts w:eastAsiaTheme="minorHAnsi"/>
          <w:b/>
          <w:bCs/>
          <w:sz w:val="12"/>
          <w:szCs w:val="12"/>
          <w:lang w:val="en-GB" w:eastAsia="en-US"/>
        </w:rPr>
        <w:br/>
      </w:r>
      <w:r w:rsidRPr="00BD7267">
        <w:rPr>
          <w:sz w:val="18"/>
          <w:szCs w:val="18"/>
        </w:rPr>
        <w:t xml:space="preserve">As part of our operations, we obtain and process information. This information includes any offline or online data that makes a person identifiable such as names, addresses, national insurance numbers, unique tax payers references, authentication codes, date of birth, employment and </w:t>
      </w:r>
      <w:proofErr w:type="spellStart"/>
      <w:r w:rsidRPr="00BD7267">
        <w:rPr>
          <w:sz w:val="18"/>
          <w:szCs w:val="18"/>
        </w:rPr>
        <w:t>self employment</w:t>
      </w:r>
      <w:proofErr w:type="spellEnd"/>
      <w:r w:rsidRPr="00BD7267">
        <w:rPr>
          <w:sz w:val="18"/>
          <w:szCs w:val="18"/>
        </w:rPr>
        <w:t xml:space="preserve"> information, tax returns, company accounts</w:t>
      </w:r>
      <w:r w:rsidR="00503CAE" w:rsidRPr="00BD7267">
        <w:rPr>
          <w:sz w:val="18"/>
          <w:szCs w:val="18"/>
        </w:rPr>
        <w:t>,</w:t>
      </w:r>
      <w:r w:rsidRPr="00BD7267">
        <w:rPr>
          <w:sz w:val="18"/>
          <w:szCs w:val="18"/>
        </w:rPr>
        <w:t xml:space="preserve"> usernames and passwords, digital footprints, photographs, financial data etc.</w:t>
      </w:r>
    </w:p>
    <w:p w14:paraId="31CA0156" w14:textId="05E41068" w:rsidR="00BA3D9B" w:rsidRPr="00BD7267" w:rsidRDefault="00BA3D9B" w:rsidP="00BA3D9B">
      <w:pPr>
        <w:spacing w:before="240" w:after="240"/>
        <w:rPr>
          <w:rFonts w:ascii="Arial" w:hAnsi="Arial" w:cs="Arial"/>
          <w:sz w:val="18"/>
          <w:szCs w:val="18"/>
        </w:rPr>
      </w:pPr>
      <w:bookmarkStart w:id="6" w:name="_Hlk44234409"/>
      <w:r w:rsidRPr="00BD7267">
        <w:rPr>
          <w:rFonts w:ascii="Arial" w:hAnsi="Arial" w:cs="Arial"/>
          <w:sz w:val="18"/>
          <w:szCs w:val="18"/>
        </w:rPr>
        <w:t>Our company collects this information in a transparent way and only with the full cooperation and knowledge of interested parties. Once this information is available to us, the following rules apply.</w:t>
      </w:r>
    </w:p>
    <w:p w14:paraId="3EB1E82F" w14:textId="77777777" w:rsidR="00BA3D9B" w:rsidRPr="00BD7267" w:rsidRDefault="00BA3D9B" w:rsidP="00BA3D9B">
      <w:pPr>
        <w:spacing w:before="240" w:after="240"/>
        <w:rPr>
          <w:rFonts w:ascii="Arial" w:hAnsi="Arial" w:cs="Arial"/>
          <w:sz w:val="18"/>
          <w:szCs w:val="18"/>
        </w:rPr>
      </w:pPr>
      <w:bookmarkStart w:id="7" w:name="_Hlk44234476"/>
      <w:bookmarkEnd w:id="6"/>
      <w:r w:rsidRPr="00BD7267">
        <w:rPr>
          <w:rFonts w:ascii="Arial" w:hAnsi="Arial" w:cs="Arial"/>
          <w:sz w:val="18"/>
          <w:szCs w:val="18"/>
        </w:rPr>
        <w:t>Our data will be:</w:t>
      </w:r>
    </w:p>
    <w:p w14:paraId="4A251D8D" w14:textId="77777777" w:rsidR="00BA3D9B" w:rsidRPr="00BD7267" w:rsidRDefault="00BA3D9B" w:rsidP="00BA3D9B">
      <w:pPr>
        <w:numPr>
          <w:ilvl w:val="0"/>
          <w:numId w:val="12"/>
        </w:numPr>
        <w:spacing w:before="240"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Accurate and kept up-to-date</w:t>
      </w:r>
    </w:p>
    <w:p w14:paraId="0CEB9932" w14:textId="77777777" w:rsidR="00BA3D9B" w:rsidRPr="00BD7267" w:rsidRDefault="00BA3D9B" w:rsidP="00BA3D9B">
      <w:pPr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Collected fairly and for lawful purposes only</w:t>
      </w:r>
    </w:p>
    <w:p w14:paraId="4560C704" w14:textId="77777777" w:rsidR="00BA3D9B" w:rsidRPr="00BD7267" w:rsidRDefault="00BA3D9B" w:rsidP="00BA3D9B">
      <w:pPr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Processed by the company within its legal and moral boundaries</w:t>
      </w:r>
    </w:p>
    <w:p w14:paraId="2CBFB29B" w14:textId="2419E916" w:rsidR="00BA3D9B" w:rsidRPr="00BD7267" w:rsidRDefault="00BA3D9B" w:rsidP="00BA3D9B">
      <w:pPr>
        <w:numPr>
          <w:ilvl w:val="0"/>
          <w:numId w:val="12"/>
        </w:numPr>
        <w:spacing w:after="24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Protected against any unauthori</w:t>
      </w:r>
      <w:r w:rsidR="00503CAE" w:rsidRPr="00BD7267">
        <w:rPr>
          <w:rFonts w:ascii="Arial" w:hAnsi="Arial" w:cs="Arial"/>
          <w:sz w:val="18"/>
          <w:szCs w:val="18"/>
        </w:rPr>
        <w:t>s</w:t>
      </w:r>
      <w:r w:rsidRPr="00BD7267">
        <w:rPr>
          <w:rFonts w:ascii="Arial" w:hAnsi="Arial" w:cs="Arial"/>
          <w:sz w:val="18"/>
          <w:szCs w:val="18"/>
        </w:rPr>
        <w:t>ed or illegal access by internal or external parties</w:t>
      </w:r>
    </w:p>
    <w:p w14:paraId="0DDCDCC7" w14:textId="7105F91D" w:rsidR="00BA3D9B" w:rsidRPr="00BD7267" w:rsidRDefault="00BA3D9B" w:rsidP="00503CAE">
      <w:pPr>
        <w:pStyle w:val="Heading2"/>
        <w:keepNext w:val="0"/>
        <w:keepLines w:val="0"/>
        <w:spacing w:after="80"/>
        <w:rPr>
          <w:rFonts w:eastAsiaTheme="minorHAnsi"/>
          <w:b/>
          <w:bCs/>
          <w:sz w:val="18"/>
          <w:szCs w:val="18"/>
          <w:vertAlign w:val="subscript"/>
          <w:lang w:val="en-GB" w:eastAsia="en-US"/>
        </w:rPr>
      </w:pPr>
      <w:bookmarkStart w:id="8" w:name="_p9lu186ws5o8" w:colFirst="0" w:colLast="0"/>
      <w:bookmarkEnd w:id="7"/>
      <w:bookmarkEnd w:id="8"/>
      <w:r w:rsidRPr="00BD7267">
        <w:rPr>
          <w:rFonts w:eastAsiaTheme="minorHAnsi"/>
          <w:b/>
          <w:bCs/>
          <w:sz w:val="18"/>
          <w:szCs w:val="18"/>
          <w:lang w:val="en-GB" w:eastAsia="en-US"/>
        </w:rPr>
        <w:t>Actions</w:t>
      </w:r>
      <w:r w:rsidR="00503CAE" w:rsidRPr="00BD7267">
        <w:rPr>
          <w:rFonts w:eastAsiaTheme="minorHAnsi"/>
          <w:b/>
          <w:bCs/>
          <w:sz w:val="18"/>
          <w:szCs w:val="18"/>
          <w:lang w:val="en-GB" w:eastAsia="en-US"/>
        </w:rPr>
        <w:br/>
      </w:r>
      <w:r w:rsidRPr="00BD7267">
        <w:rPr>
          <w:sz w:val="28"/>
          <w:szCs w:val="28"/>
          <w:vertAlign w:val="subscript"/>
        </w:rPr>
        <w:t>To exercise data protection we're committed to:</w:t>
      </w:r>
    </w:p>
    <w:p w14:paraId="6D0E74EA" w14:textId="77777777" w:rsidR="00BA3D9B" w:rsidRPr="00BD7267" w:rsidRDefault="00BA3D9B" w:rsidP="00BA3D9B">
      <w:pPr>
        <w:numPr>
          <w:ilvl w:val="0"/>
          <w:numId w:val="13"/>
        </w:numPr>
        <w:spacing w:before="240"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Restrict and monitor access to sensitive data</w:t>
      </w:r>
    </w:p>
    <w:p w14:paraId="5EA81ECE" w14:textId="77777777" w:rsidR="00BA3D9B" w:rsidRPr="00BD7267" w:rsidRDefault="00BA3D9B" w:rsidP="00BA3D9B">
      <w:pPr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Develop transparent data collection procedures</w:t>
      </w:r>
    </w:p>
    <w:p w14:paraId="2268C908" w14:textId="77777777" w:rsidR="00BA3D9B" w:rsidRPr="00BD7267" w:rsidRDefault="00BA3D9B" w:rsidP="00BA3D9B">
      <w:pPr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Establish clear procedures for reporting privacy breaches or data misuse</w:t>
      </w:r>
    </w:p>
    <w:p w14:paraId="28F4EE75" w14:textId="77777777" w:rsidR="00BA3D9B" w:rsidRPr="00BD7267" w:rsidRDefault="00BA3D9B" w:rsidP="00BA3D9B">
      <w:pPr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Include contract clauses or communicate statements on how we handle data</w:t>
      </w:r>
    </w:p>
    <w:p w14:paraId="7863FE4A" w14:textId="1AF92CDE" w:rsidR="00F10833" w:rsidRPr="00BD7267" w:rsidRDefault="00BA3D9B" w:rsidP="00BD7267">
      <w:pPr>
        <w:numPr>
          <w:ilvl w:val="0"/>
          <w:numId w:val="13"/>
        </w:numPr>
        <w:spacing w:after="240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Establish data protection practices </w:t>
      </w:r>
    </w:p>
    <w:p w14:paraId="7CF6E481" w14:textId="06ED1FB5" w:rsidR="002216AD" w:rsidRPr="00BD7267" w:rsidRDefault="002216AD" w:rsidP="00503CAE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Data Subject Rights</w:t>
      </w:r>
      <w:r w:rsidR="00503CAE" w:rsidRPr="00BD7267">
        <w:rPr>
          <w:rFonts w:ascii="Arial" w:hAnsi="Arial" w:cs="Arial"/>
          <w:sz w:val="18"/>
          <w:szCs w:val="18"/>
        </w:rPr>
        <w:br/>
        <w:t>Jaccountancy</w:t>
      </w:r>
      <w:r w:rsidRPr="00BD7267">
        <w:rPr>
          <w:rFonts w:ascii="Arial" w:hAnsi="Arial" w:cs="Arial"/>
          <w:sz w:val="18"/>
          <w:szCs w:val="18"/>
        </w:rPr>
        <w:t xml:space="preserve"> has processes in place to ensure that it can facilitate any request made by an individual to exercise their rights under data protection law. </w:t>
      </w:r>
    </w:p>
    <w:p w14:paraId="26A915BC" w14:textId="77777777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All requests will be considered without undue delay and within one month of receipt as far as possible.   </w:t>
      </w:r>
    </w:p>
    <w:p w14:paraId="44D6BFBF" w14:textId="77777777" w:rsidR="00BD7267" w:rsidRDefault="00BD7267" w:rsidP="002216AD">
      <w:pPr>
        <w:rPr>
          <w:rFonts w:ascii="Arial" w:hAnsi="Arial" w:cs="Arial"/>
          <w:b/>
          <w:sz w:val="18"/>
          <w:szCs w:val="18"/>
        </w:rPr>
      </w:pPr>
    </w:p>
    <w:p w14:paraId="3800C2A9" w14:textId="77777777" w:rsidR="00BD7267" w:rsidRDefault="00BD7267" w:rsidP="002216AD">
      <w:pPr>
        <w:rPr>
          <w:rFonts w:ascii="Arial" w:hAnsi="Arial" w:cs="Arial"/>
          <w:b/>
          <w:sz w:val="18"/>
          <w:szCs w:val="18"/>
        </w:rPr>
      </w:pPr>
    </w:p>
    <w:p w14:paraId="65C29981" w14:textId="77777777" w:rsidR="00BD7267" w:rsidRDefault="00BD7267" w:rsidP="002216AD">
      <w:pPr>
        <w:rPr>
          <w:rFonts w:ascii="Arial" w:hAnsi="Arial" w:cs="Arial"/>
          <w:b/>
          <w:sz w:val="18"/>
          <w:szCs w:val="18"/>
        </w:rPr>
      </w:pPr>
    </w:p>
    <w:p w14:paraId="3FB3A44A" w14:textId="30A78A02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Subject acces</w:t>
      </w:r>
      <w:r w:rsidR="00503CAE" w:rsidRPr="00BD7267">
        <w:rPr>
          <w:rFonts w:ascii="Arial" w:hAnsi="Arial" w:cs="Arial"/>
          <w:b/>
          <w:sz w:val="18"/>
          <w:szCs w:val="18"/>
        </w:rPr>
        <w:t>s</w:t>
      </w:r>
      <w:r w:rsidR="00503CAE" w:rsidRPr="00BD7267">
        <w:rPr>
          <w:rFonts w:ascii="Arial" w:hAnsi="Arial" w:cs="Arial"/>
          <w:b/>
          <w:sz w:val="18"/>
          <w:szCs w:val="18"/>
        </w:rPr>
        <w:br/>
      </w:r>
      <w:r w:rsidR="00503CAE" w:rsidRPr="00BD7267">
        <w:rPr>
          <w:rFonts w:ascii="Arial" w:hAnsi="Arial" w:cs="Arial"/>
          <w:sz w:val="18"/>
          <w:szCs w:val="18"/>
        </w:rPr>
        <w:t>T</w:t>
      </w:r>
      <w:r w:rsidRPr="00BD7267">
        <w:rPr>
          <w:rFonts w:ascii="Arial" w:hAnsi="Arial" w:cs="Arial"/>
          <w:sz w:val="18"/>
          <w:szCs w:val="18"/>
        </w:rPr>
        <w:t xml:space="preserve">he right to request information about how personal data is being processed, including </w:t>
      </w:r>
      <w:r w:rsidR="00BD7267">
        <w:rPr>
          <w:rFonts w:ascii="Arial" w:hAnsi="Arial" w:cs="Arial"/>
          <w:sz w:val="18"/>
          <w:szCs w:val="18"/>
        </w:rPr>
        <w:br/>
      </w:r>
      <w:r w:rsidRPr="00BD7267">
        <w:rPr>
          <w:rFonts w:ascii="Arial" w:hAnsi="Arial" w:cs="Arial"/>
          <w:sz w:val="18"/>
          <w:szCs w:val="18"/>
        </w:rPr>
        <w:t xml:space="preserve">whether personal data is being processed and the right to be allowed access to that data and to be provided with a copy of that data along with the right to obtain the following information: </w:t>
      </w:r>
    </w:p>
    <w:p w14:paraId="69B2804D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purpose of the processing </w:t>
      </w:r>
    </w:p>
    <w:p w14:paraId="7FF0E681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categories of personal data </w:t>
      </w:r>
    </w:p>
    <w:p w14:paraId="57C7EF94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recipients to whom data has been disclosed or which will be disclosed </w:t>
      </w:r>
    </w:p>
    <w:p w14:paraId="2C3EDF40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the retention period</w:t>
      </w:r>
    </w:p>
    <w:p w14:paraId="030775F7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right to lodge a complaint with the Information Commissioner’s Office </w:t>
      </w:r>
    </w:p>
    <w:p w14:paraId="504544CB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source of the information if not collected direct from the subject, and </w:t>
      </w:r>
    </w:p>
    <w:p w14:paraId="0C6D0534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existence of any automated decision making </w:t>
      </w:r>
    </w:p>
    <w:p w14:paraId="4D6D641F" w14:textId="78532F76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Rectification</w:t>
      </w:r>
      <w:r w:rsidR="00503CAE" w:rsidRPr="00BD7267">
        <w:rPr>
          <w:rFonts w:ascii="Arial" w:hAnsi="Arial" w:cs="Arial"/>
          <w:sz w:val="18"/>
          <w:szCs w:val="18"/>
        </w:rPr>
        <w:br/>
        <w:t>Th</w:t>
      </w:r>
      <w:r w:rsidRPr="00BD7267">
        <w:rPr>
          <w:rFonts w:ascii="Arial" w:hAnsi="Arial" w:cs="Arial"/>
          <w:sz w:val="18"/>
          <w:szCs w:val="18"/>
        </w:rPr>
        <w:t xml:space="preserve">e right to allow a data subject to rectify inaccurate personal data concerning them. </w:t>
      </w:r>
    </w:p>
    <w:p w14:paraId="78A6D6FE" w14:textId="77777777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Erasure</w:t>
      </w:r>
      <w:r w:rsidRPr="00BD7267">
        <w:rPr>
          <w:rFonts w:ascii="Arial" w:hAnsi="Arial" w:cs="Arial"/>
          <w:sz w:val="18"/>
          <w:szCs w:val="18"/>
        </w:rPr>
        <w:t>: the right to have data erased and to have confirmation of erasure, but only where:</w:t>
      </w:r>
    </w:p>
    <w:p w14:paraId="3392D765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the data is no longer necessary in relation to the purpose for which it was collected, or</w:t>
      </w:r>
    </w:p>
    <w:p w14:paraId="235E009B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where consent is withdrawn, or</w:t>
      </w:r>
    </w:p>
    <w:p w14:paraId="6849F5A6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where there is no legal basis for the processing, or </w:t>
      </w:r>
    </w:p>
    <w:p w14:paraId="2B877E72" w14:textId="225CD89B" w:rsidR="00133607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there is a legal obligation to delete data</w:t>
      </w:r>
    </w:p>
    <w:p w14:paraId="5D461335" w14:textId="307249D7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Restriction of processing</w:t>
      </w:r>
      <w:r w:rsidRPr="00BD7267">
        <w:rPr>
          <w:rFonts w:ascii="Arial" w:hAnsi="Arial" w:cs="Arial"/>
          <w:sz w:val="18"/>
          <w:szCs w:val="18"/>
        </w:rPr>
        <w:t xml:space="preserve">: the right to ask for certain processing to be restricted in the following circumstances:   </w:t>
      </w:r>
    </w:p>
    <w:p w14:paraId="645BCDD1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if the accuracy of the personal data is being contested, or</w:t>
      </w:r>
    </w:p>
    <w:p w14:paraId="30F3A48B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>if our processing is unlawful but the data subject does not want it erased, or</w:t>
      </w:r>
    </w:p>
    <w:p w14:paraId="0DFC2544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if the data is no longer needed for the purpose of the processing but it is required by the data subject for the establishment, exercise or defence of legal claims, or </w:t>
      </w:r>
    </w:p>
    <w:p w14:paraId="1D2E6118" w14:textId="77777777" w:rsidR="002216AD" w:rsidRPr="00BD7267" w:rsidRDefault="002216AD" w:rsidP="002216A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if the data subject has objected to the processing, pending verification of that objection </w:t>
      </w:r>
    </w:p>
    <w:p w14:paraId="6526289B" w14:textId="73C7E6DD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Object to processing</w:t>
      </w:r>
      <w:r w:rsidRPr="00BD7267">
        <w:rPr>
          <w:rFonts w:ascii="Arial" w:hAnsi="Arial" w:cs="Arial"/>
          <w:sz w:val="18"/>
          <w:szCs w:val="18"/>
        </w:rPr>
        <w:t xml:space="preserve">: the right to object to the processing of personal data relying on the legitimate interests processing condition unless </w:t>
      </w:r>
      <w:r w:rsidR="00FF420B" w:rsidRPr="00BD7267">
        <w:rPr>
          <w:rFonts w:ascii="Arial" w:hAnsi="Arial" w:cs="Arial"/>
          <w:sz w:val="18"/>
          <w:szCs w:val="18"/>
        </w:rPr>
        <w:t>J</w:t>
      </w:r>
      <w:r w:rsidR="00133607" w:rsidRPr="00BD7267">
        <w:rPr>
          <w:rFonts w:ascii="Arial" w:hAnsi="Arial" w:cs="Arial"/>
          <w:sz w:val="18"/>
          <w:szCs w:val="18"/>
        </w:rPr>
        <w:t>accountancy</w:t>
      </w:r>
      <w:r w:rsidRPr="00BD7267">
        <w:rPr>
          <w:rFonts w:ascii="Arial" w:hAnsi="Arial" w:cs="Arial"/>
          <w:sz w:val="18"/>
          <w:szCs w:val="18"/>
        </w:rPr>
        <w:t xml:space="preserve"> can demonstrate compelling legitimate grounds for the processing which override the interests of the data subject or for the establishment, exercise or defence of legal claims.</w:t>
      </w:r>
    </w:p>
    <w:p w14:paraId="3553134E" w14:textId="77777777" w:rsidR="002216AD" w:rsidRPr="00BD7267" w:rsidRDefault="002216AD" w:rsidP="002216AD">
      <w:pPr>
        <w:rPr>
          <w:rFonts w:ascii="Arial" w:hAnsi="Arial" w:cs="Arial"/>
          <w:b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Responsibility for the processing of personal data</w:t>
      </w:r>
    </w:p>
    <w:p w14:paraId="4F1865A3" w14:textId="7E259778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The </w:t>
      </w:r>
      <w:r w:rsidR="00133607" w:rsidRPr="00BD7267">
        <w:rPr>
          <w:rFonts w:ascii="Arial" w:hAnsi="Arial" w:cs="Arial"/>
          <w:sz w:val="18"/>
          <w:szCs w:val="18"/>
        </w:rPr>
        <w:t>Directors</w:t>
      </w:r>
      <w:r w:rsidRPr="00BD7267">
        <w:rPr>
          <w:rFonts w:ascii="Arial" w:hAnsi="Arial" w:cs="Arial"/>
          <w:sz w:val="18"/>
          <w:szCs w:val="18"/>
        </w:rPr>
        <w:t xml:space="preserve"> of </w:t>
      </w:r>
      <w:r w:rsidR="00FF420B" w:rsidRPr="00BD7267">
        <w:rPr>
          <w:rFonts w:ascii="Arial" w:hAnsi="Arial" w:cs="Arial"/>
          <w:sz w:val="18"/>
          <w:szCs w:val="18"/>
        </w:rPr>
        <w:t>J</w:t>
      </w:r>
      <w:r w:rsidR="00133607" w:rsidRPr="00BD7267">
        <w:rPr>
          <w:rFonts w:ascii="Arial" w:hAnsi="Arial" w:cs="Arial"/>
          <w:sz w:val="18"/>
          <w:szCs w:val="18"/>
        </w:rPr>
        <w:t>accountancy</w:t>
      </w:r>
      <w:r w:rsidRPr="00BD7267">
        <w:rPr>
          <w:rFonts w:ascii="Arial" w:hAnsi="Arial" w:cs="Arial"/>
          <w:sz w:val="18"/>
          <w:szCs w:val="18"/>
        </w:rPr>
        <w:t xml:space="preserve"> take ultimate responsibility for data protection. </w:t>
      </w:r>
    </w:p>
    <w:p w14:paraId="75FFF0EF" w14:textId="77E1D72D" w:rsidR="002216AD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If you have any concerns or wish to exercise any of your rights under the GDPR, then you can contact the data protection </w:t>
      </w:r>
      <w:r w:rsidR="00C23806" w:rsidRPr="00BD7267">
        <w:rPr>
          <w:rFonts w:ascii="Arial" w:hAnsi="Arial" w:cs="Arial"/>
          <w:sz w:val="18"/>
          <w:szCs w:val="18"/>
        </w:rPr>
        <w:t>officer</w:t>
      </w:r>
      <w:r w:rsidRPr="00BD7267">
        <w:rPr>
          <w:rFonts w:ascii="Arial" w:hAnsi="Arial" w:cs="Arial"/>
          <w:sz w:val="18"/>
          <w:szCs w:val="18"/>
        </w:rPr>
        <w:t xml:space="preserve"> in the following ways: </w:t>
      </w:r>
    </w:p>
    <w:p w14:paraId="570E9793" w14:textId="5EEE821B" w:rsidR="005D717F" w:rsidRPr="00BD7267" w:rsidRDefault="00C23806" w:rsidP="00BD7267">
      <w:pPr>
        <w:jc w:val="center"/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Jay Wilson </w:t>
      </w:r>
      <w:r w:rsidR="002216AD" w:rsidRPr="00BD7267">
        <w:rPr>
          <w:rFonts w:ascii="Arial" w:hAnsi="Arial" w:cs="Arial"/>
          <w:sz w:val="18"/>
          <w:szCs w:val="18"/>
        </w:rPr>
        <w:br/>
      </w:r>
      <w:r w:rsidRPr="00BD7267">
        <w:rPr>
          <w:rFonts w:ascii="Arial" w:hAnsi="Arial" w:cs="Arial"/>
          <w:sz w:val="18"/>
          <w:szCs w:val="18"/>
        </w:rPr>
        <w:t xml:space="preserve">15 </w:t>
      </w:r>
      <w:proofErr w:type="spellStart"/>
      <w:r w:rsidRPr="00BD7267">
        <w:rPr>
          <w:rFonts w:ascii="Arial" w:hAnsi="Arial" w:cs="Arial"/>
          <w:sz w:val="18"/>
          <w:szCs w:val="18"/>
        </w:rPr>
        <w:t>Silloth</w:t>
      </w:r>
      <w:proofErr w:type="spellEnd"/>
      <w:r w:rsidRPr="00BD7267">
        <w:rPr>
          <w:rFonts w:ascii="Arial" w:hAnsi="Arial" w:cs="Arial"/>
          <w:sz w:val="18"/>
          <w:szCs w:val="18"/>
        </w:rPr>
        <w:t xml:space="preserve"> Avenue, Newcastle Upon Tyne, NE5 2TB</w:t>
      </w:r>
      <w:r w:rsidR="002216AD" w:rsidRPr="00BD7267">
        <w:rPr>
          <w:rFonts w:ascii="Arial" w:hAnsi="Arial" w:cs="Arial"/>
          <w:sz w:val="18"/>
          <w:szCs w:val="18"/>
        </w:rPr>
        <w:br/>
      </w:r>
      <w:r w:rsidRPr="00BD7267">
        <w:rPr>
          <w:rFonts w:ascii="Arial" w:hAnsi="Arial" w:cs="Arial"/>
          <w:sz w:val="18"/>
          <w:szCs w:val="18"/>
        </w:rPr>
        <w:t>Jay@Jaccountancyne.co.uk</w:t>
      </w:r>
      <w:r w:rsidR="002216AD" w:rsidRPr="00BD7267">
        <w:rPr>
          <w:rFonts w:ascii="Arial" w:hAnsi="Arial" w:cs="Arial"/>
          <w:sz w:val="18"/>
          <w:szCs w:val="18"/>
        </w:rPr>
        <w:br/>
      </w:r>
      <w:r w:rsidRPr="00BD7267">
        <w:rPr>
          <w:rFonts w:ascii="Arial" w:hAnsi="Arial" w:cs="Arial"/>
          <w:sz w:val="18"/>
          <w:szCs w:val="18"/>
        </w:rPr>
        <w:t>0330 122 2280</w:t>
      </w:r>
    </w:p>
    <w:p w14:paraId="52F91314" w14:textId="77777777" w:rsidR="00BD7267" w:rsidRDefault="00BD7267" w:rsidP="002216AD">
      <w:pPr>
        <w:rPr>
          <w:rFonts w:ascii="Arial" w:hAnsi="Arial" w:cs="Arial"/>
          <w:b/>
          <w:sz w:val="18"/>
          <w:szCs w:val="18"/>
        </w:rPr>
      </w:pPr>
    </w:p>
    <w:p w14:paraId="036E11A5" w14:textId="77777777" w:rsidR="00BD7267" w:rsidRDefault="00BD7267" w:rsidP="002216AD">
      <w:pPr>
        <w:rPr>
          <w:rFonts w:ascii="Arial" w:hAnsi="Arial" w:cs="Arial"/>
          <w:b/>
          <w:sz w:val="18"/>
          <w:szCs w:val="18"/>
        </w:rPr>
      </w:pPr>
    </w:p>
    <w:p w14:paraId="62415A54" w14:textId="385DD982" w:rsidR="002216AD" w:rsidRPr="00BD7267" w:rsidRDefault="002216AD" w:rsidP="002216AD">
      <w:pPr>
        <w:rPr>
          <w:rFonts w:ascii="Arial" w:hAnsi="Arial" w:cs="Arial"/>
          <w:b/>
          <w:sz w:val="18"/>
          <w:szCs w:val="18"/>
        </w:rPr>
      </w:pPr>
      <w:r w:rsidRPr="00BD7267">
        <w:rPr>
          <w:rFonts w:ascii="Arial" w:hAnsi="Arial" w:cs="Arial"/>
          <w:b/>
          <w:sz w:val="18"/>
          <w:szCs w:val="18"/>
        </w:rPr>
        <w:t>Monitoring and review</w:t>
      </w:r>
    </w:p>
    <w:p w14:paraId="00332090" w14:textId="66FB39DA" w:rsidR="00EC3694" w:rsidRPr="00BD7267" w:rsidRDefault="002216AD" w:rsidP="002216AD">
      <w:pPr>
        <w:rPr>
          <w:rFonts w:ascii="Arial" w:hAnsi="Arial" w:cs="Arial"/>
          <w:sz w:val="18"/>
          <w:szCs w:val="18"/>
        </w:rPr>
      </w:pPr>
      <w:r w:rsidRPr="00BD7267">
        <w:rPr>
          <w:rFonts w:ascii="Arial" w:hAnsi="Arial" w:cs="Arial"/>
          <w:sz w:val="18"/>
          <w:szCs w:val="18"/>
        </w:rPr>
        <w:t xml:space="preserve">This policy was last updated on </w:t>
      </w:r>
      <w:r w:rsidR="00C23806" w:rsidRPr="00BD7267">
        <w:rPr>
          <w:rFonts w:ascii="Arial" w:hAnsi="Arial" w:cs="Arial"/>
          <w:sz w:val="18"/>
          <w:szCs w:val="18"/>
        </w:rPr>
        <w:t>1</w:t>
      </w:r>
      <w:r w:rsidRPr="00BD7267">
        <w:rPr>
          <w:rFonts w:ascii="Arial" w:hAnsi="Arial" w:cs="Arial"/>
          <w:sz w:val="18"/>
          <w:szCs w:val="18"/>
        </w:rPr>
        <w:t xml:space="preserve"> </w:t>
      </w:r>
      <w:r w:rsidR="00C23806" w:rsidRPr="00BD7267">
        <w:rPr>
          <w:rFonts w:ascii="Arial" w:hAnsi="Arial" w:cs="Arial"/>
          <w:sz w:val="18"/>
          <w:szCs w:val="18"/>
        </w:rPr>
        <w:t>July</w:t>
      </w:r>
      <w:r w:rsidRPr="00BD7267">
        <w:rPr>
          <w:rFonts w:ascii="Arial" w:hAnsi="Arial" w:cs="Arial"/>
          <w:sz w:val="18"/>
          <w:szCs w:val="18"/>
        </w:rPr>
        <w:t xml:space="preserve"> 20</w:t>
      </w:r>
      <w:r w:rsidR="00C23806" w:rsidRPr="00BD7267">
        <w:rPr>
          <w:rFonts w:ascii="Arial" w:hAnsi="Arial" w:cs="Arial"/>
          <w:sz w:val="18"/>
          <w:szCs w:val="18"/>
        </w:rPr>
        <w:t>20</w:t>
      </w:r>
      <w:r w:rsidRPr="00BD7267">
        <w:rPr>
          <w:rFonts w:ascii="Arial" w:hAnsi="Arial" w:cs="Arial"/>
          <w:sz w:val="18"/>
          <w:szCs w:val="18"/>
        </w:rPr>
        <w:t xml:space="preserve"> and shall be regularly monitored and reviewed, at least every two years.</w:t>
      </w:r>
    </w:p>
    <w:sectPr w:rsidR="00EC3694" w:rsidRPr="00BD726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3E08" w14:textId="77777777" w:rsidR="00606C4D" w:rsidRDefault="00606C4D" w:rsidP="009B7E06">
      <w:pPr>
        <w:spacing w:after="0" w:line="240" w:lineRule="auto"/>
      </w:pPr>
      <w:r>
        <w:separator/>
      </w:r>
    </w:p>
  </w:endnote>
  <w:endnote w:type="continuationSeparator" w:id="0">
    <w:p w14:paraId="0CE817B4" w14:textId="77777777" w:rsidR="00606C4D" w:rsidRDefault="00606C4D" w:rsidP="009B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408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36C70" w14:textId="77777777" w:rsidR="009B7E06" w:rsidRDefault="009B7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3FDC5" w14:textId="77777777" w:rsidR="009B7E06" w:rsidRDefault="009B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2D8F" w14:textId="77777777" w:rsidR="00606C4D" w:rsidRDefault="00606C4D" w:rsidP="009B7E06">
      <w:pPr>
        <w:spacing w:after="0" w:line="240" w:lineRule="auto"/>
      </w:pPr>
      <w:r>
        <w:separator/>
      </w:r>
    </w:p>
  </w:footnote>
  <w:footnote w:type="continuationSeparator" w:id="0">
    <w:p w14:paraId="190DAB0C" w14:textId="77777777" w:rsidR="00606C4D" w:rsidRDefault="00606C4D" w:rsidP="009B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7F40" w14:textId="5FFA8120" w:rsidR="009B7E06" w:rsidRDefault="00C23806" w:rsidP="009B7E06">
    <w:pPr>
      <w:pStyle w:val="Header"/>
      <w:jc w:val="right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96CD199" wp14:editId="22A05B4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7558088" cy="10683984"/>
          <wp:effectExtent l="0" t="0" r="5080" b="3175"/>
          <wp:wrapNone/>
          <wp:docPr id="2" name="Picture 2" descr="Letterhead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0683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06">
      <w:ptab w:relativeTo="margin" w:alignment="center" w:leader="none"/>
    </w:r>
    <w:r w:rsidR="009B7E0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A2B"/>
    <w:multiLevelType w:val="hybridMultilevel"/>
    <w:tmpl w:val="CDBE806E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FD8"/>
    <w:multiLevelType w:val="multilevel"/>
    <w:tmpl w:val="29C4A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544045"/>
    <w:multiLevelType w:val="hybridMultilevel"/>
    <w:tmpl w:val="B22CEA42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6875"/>
    <w:multiLevelType w:val="hybridMultilevel"/>
    <w:tmpl w:val="280E10E8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2035"/>
    <w:multiLevelType w:val="hybridMultilevel"/>
    <w:tmpl w:val="A72C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F06"/>
    <w:multiLevelType w:val="hybridMultilevel"/>
    <w:tmpl w:val="02B65D58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68DE"/>
    <w:multiLevelType w:val="hybridMultilevel"/>
    <w:tmpl w:val="AAF4CA72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00A9"/>
    <w:multiLevelType w:val="hybridMultilevel"/>
    <w:tmpl w:val="0BF06E34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7FBB"/>
    <w:multiLevelType w:val="hybridMultilevel"/>
    <w:tmpl w:val="17768AE6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248"/>
    <w:multiLevelType w:val="multilevel"/>
    <w:tmpl w:val="0D76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1B408C"/>
    <w:multiLevelType w:val="hybridMultilevel"/>
    <w:tmpl w:val="0B60AEEA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7564"/>
    <w:multiLevelType w:val="multilevel"/>
    <w:tmpl w:val="794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C52323"/>
    <w:multiLevelType w:val="multilevel"/>
    <w:tmpl w:val="65584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7B1E89"/>
    <w:multiLevelType w:val="hybridMultilevel"/>
    <w:tmpl w:val="99CCC67A"/>
    <w:lvl w:ilvl="0" w:tplc="D72892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C90"/>
    <w:multiLevelType w:val="multilevel"/>
    <w:tmpl w:val="0B4E2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D"/>
    <w:rsid w:val="00133607"/>
    <w:rsid w:val="00176D21"/>
    <w:rsid w:val="001A2694"/>
    <w:rsid w:val="002216AD"/>
    <w:rsid w:val="00385E72"/>
    <w:rsid w:val="00503CAE"/>
    <w:rsid w:val="0052698F"/>
    <w:rsid w:val="005D717F"/>
    <w:rsid w:val="00606C4D"/>
    <w:rsid w:val="00634C99"/>
    <w:rsid w:val="009530CE"/>
    <w:rsid w:val="009B7E06"/>
    <w:rsid w:val="00AB6283"/>
    <w:rsid w:val="00AD6DF7"/>
    <w:rsid w:val="00BA3D9B"/>
    <w:rsid w:val="00BD7267"/>
    <w:rsid w:val="00C06F2F"/>
    <w:rsid w:val="00C2254D"/>
    <w:rsid w:val="00C23806"/>
    <w:rsid w:val="00D41B57"/>
    <w:rsid w:val="00D50121"/>
    <w:rsid w:val="00DF2FFA"/>
    <w:rsid w:val="00E5104C"/>
    <w:rsid w:val="00E8494B"/>
    <w:rsid w:val="00EC3694"/>
    <w:rsid w:val="00F10833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73D7"/>
  <w15:docId w15:val="{496E547C-7986-4464-AF97-10C7D5E6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D9B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D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D9B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E06"/>
  </w:style>
  <w:style w:type="paragraph" w:styleId="Footer">
    <w:name w:val="footer"/>
    <w:basedOn w:val="Normal"/>
    <w:link w:val="FooterChar"/>
    <w:uiPriority w:val="99"/>
    <w:unhideWhenUsed/>
    <w:rsid w:val="009B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E06"/>
  </w:style>
  <w:style w:type="paragraph" w:styleId="BalloonText">
    <w:name w:val="Balloon Text"/>
    <w:basedOn w:val="Normal"/>
    <w:link w:val="BalloonTextChar"/>
    <w:uiPriority w:val="99"/>
    <w:semiHidden/>
    <w:unhideWhenUsed/>
    <w:rsid w:val="009B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3D9B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3D9B"/>
    <w:rPr>
      <w:rFonts w:ascii="Arial" w:eastAsia="Arial" w:hAnsi="Arial" w:cs="Arial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3D9B"/>
    <w:rPr>
      <w:rFonts w:ascii="Arial" w:eastAsia="Arial" w:hAnsi="Arial" w:cs="Arial"/>
      <w:color w:val="434343"/>
      <w:sz w:val="28"/>
      <w:szCs w:val="2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8T08:52:33.8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 4 10591 0 0,'-21'-4'944'0'0,"12"4"-752"0"0,9 0-192 0 0,0 0 0 0 0,1 7 1784 0 0,-1-7 320 0 0,0 0 64 0 0,0 0 8 0 0,0 0-2720 0 0,0 0-552 0 0,10-5-112 0 0,-10 5-5760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8T08:52:37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1152 1 5063 0 0,'-23'3'153'0'0,"0"1"-1"0"0,-20 7-152 0 0,22-4 1584 0 0,1 0 0 0 0,0 2 0 0 0,1 0 0 0 0,0 1 0 0 0,1 1 0 0 0,0 1 0 0 0,0 1 1 0 0,-11 11-1585 0 0,-10 11 501 0 0,2 2 1 0 0,2 2 0 0 0,2 1 0 0 0,1 1 0 0 0,-12 23-502 0 0,-2 12-104 0 0,3 2 0 0 0,-25 69 104 0 0,2-11-2988 0 0,-55 82 2988 0 0,36-70 4 0 0,2 15-4 0 0,77-150 54 0 0,-75 173 1058 0 0,65-144-904 0 0,2 1 0 0 0,1 0 1 0 0,-1 22-209 0 0,12-56-30 0 0,1-1 1 0 0,0 1 0 0 0,0 0 0 0 0,1-1 0 0 0,1 1 0 0 0,0 4 29 0 0,-1-12-11 0 0,0 1 0 0 0,0-1 0 0 0,0 1 0 0 0,1-1 0 0 0,-1 1 0 0 0,1-1 0 0 0,-1 1 0 0 0,1-1 0 0 0,-1 0 0 0 0,1 1 0 0 0,0-1 0 0 0,0 0 0 0 0,0 1 0 0 0,-1-1 1 0 0,1 0-1 0 0,0 0 0 0 0,1 0 0 0 0,-1 0 0 0 0,0 0 0 0 0,0 0 0 0 0,0 0 0 0 0,1 0 0 0 0,-1-1 0 0 0,0 1 0 0 0,1 0 0 0 0,-1-1 0 0 0,0 1 0 0 0,1-1 0 0 0,-1 1 0 0 0,1-1 0 0 0,-1 0 0 0 0,1 0 0 0 0,-1 0 0 0 0,1 1 0 0 0,-1-1 0 0 0,1-1 0 0 0,-1 1 0 0 0,1 0 0 0 0,-1 0 0 0 0,1-1 11 0 0,5 0 7 0 0,-1-1 0 0 0,0 0-1 0 0,0 0 1 0 0,0-1 0 0 0,0 0 0 0 0,-1 0-1 0 0,1 0 1 0 0,-1-1 0 0 0,5-3-7 0 0,10-9 126 0 0,15-17-126 0 0,-28 26 19 0 0,27-27 104 0 0,-3-2 1 0 0,-1-1-1 0 0,-1-2 1 0 0,0-3-124 0 0,18-36 612 0 0,26-57-612 0 0,258-603 959 0 0,-321 716-942 0 0,95-245 113 0 0,-37 91-404 0 0,-62 165 165 0 0,-6 11 105 0 0,0 0 1 0 0,1 0 0 0 0,-1 0-1 0 0,0 0 1 0 0,0 0-1 0 0,0 0 1 0 0,0 0 0 0 0,0 0-1 0 0,0 0 1 0 0,0 0 0 0 0,1 0-1 0 0,-1 0 1 0 0,0 0-1 0 0,0 0 1 0 0,0 0 0 0 0,0 0-1 0 0,0 0 1 0 0,0 0 0 0 0,0 0-1 0 0,1 0 1 0 0,-1 0-1 0 0,0 0 1 0 0,0 0 0 0 0,0 0-1 0 0,0 0 1 0 0,0 0 0 0 0,0 0-1 0 0,0 0 1 0 0,0 0-1 0 0,0 0 1 0 0,1 1 0 0 0,-1-1-1 0 0,0 0 1 0 0,0 0 0 0 0,0 0-1 0 0,0 0 1 0 0,0 0-1 0 0,0 0 1 0 0,0 0 0 0 0,0 0-1 0 0,0 1 1 0 0,0-1 0 0 0,0 0-1 0 0,0 0 1 0 0,0 0-1 0 0,0 0 1 0 0,0 0 3 0 0,1 3-23 0 0,-1 0 0 0 0,1 0 0 0 0,-1 1 0 0 0,0-1 0 0 0,0 0 0 0 0,0 2 23 0 0,-6 38-100 0 0,-2-1 1 0 0,-2 0 0 0 0,-9 25 99 0 0,0-1-128 0 0,11-36 16 0 0,-67 274-2492 0 0,62-241-3608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 Services</TermName>
          <TermId xmlns="http://schemas.microsoft.com/office/infopath/2007/PartnerControls">eefbe017-e581-4662-841c-74bd67528efc</TermId>
        </TermInfo>
      </Terms>
    </m73f487bf6df40bd884c3d6035f2f3bf>
    <j51334b8464a403e8708c44b550590d2 xmlns="c580686b-3c78-40fc-8280-257271cf61a5">
      <Terms xmlns="http://schemas.microsoft.com/office/infopath/2007/PartnerControls"/>
    </j51334b8464a403e8708c44b550590d2>
    <TaxCatchAll xmlns="3595a3b4-95e1-40b3-9976-0da52ff3c1d6">
      <Value>97</Value>
    </TaxCatchAll>
    <_dlc_DocId xmlns="3595a3b4-95e1-40b3-9976-0da52ff3c1d6">73WM5REP3J34-1768547879-13088</_dlc_DocId>
    <_dlc_DocIdUrl xmlns="3595a3b4-95e1-40b3-9976-0da52ff3c1d6">
      <Url>http://thehub/teams/memberengagement/_layouts/15/DocIdRedir.aspx?ID=73WM5REP3J34-1768547879-13088</Url>
      <Description>73WM5REP3J34-1768547879-13088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EA8A4EB307AFC14F89461A5A0274F8C9" ma:contentTypeVersion="2" ma:contentTypeDescription="" ma:contentTypeScope="" ma:versionID="d6b0bd5185800eb957becdfd19cdc723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5f88aa3c55589da9f9f752e590ca51db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73A61C-7EDA-4EC1-9EA1-B42785D3E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F92A7-0385-4DAB-A999-A24434CFAEBD}">
  <ds:schemaRefs>
    <ds:schemaRef ds:uri="http://schemas.microsoft.com/office/2006/metadata/properties"/>
    <ds:schemaRef ds:uri="http://schemas.microsoft.com/office/infopath/2007/PartnerControls"/>
    <ds:schemaRef ds:uri="c580686b-3c78-40fc-8280-257271cf61a5"/>
    <ds:schemaRef ds:uri="3595a3b4-95e1-40b3-9976-0da52ff3c1d6"/>
  </ds:schemaRefs>
</ds:datastoreItem>
</file>

<file path=customXml/itemProps3.xml><?xml version="1.0" encoding="utf-8"?>
<ds:datastoreItem xmlns:ds="http://schemas.openxmlformats.org/officeDocument/2006/customXml" ds:itemID="{D47F2FF0-5275-4904-8C4E-1BCCEBADD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6AB98-7726-49F1-8F80-B05C008E20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Maclauchlan</dc:creator>
  <cp:lastModifiedBy>Jay Wilson</cp:lastModifiedBy>
  <cp:revision>6</cp:revision>
  <dcterms:created xsi:type="dcterms:W3CDTF">2020-06-28T09:04:00Z</dcterms:created>
  <dcterms:modified xsi:type="dcterms:W3CDTF">2020-08-23T17:22:00Z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0x010100F6C9EF00BFCE744FB82DB39B849666BF0F00EA8A4EB307AFC14F89461A5A0274F8C9</vt:lpwstr>
  </property>
  <property fmtid="{D5CDD505-2E9C-101B-9397-08002B2CF9AE}" pid="3" name="Committee">
    <vt:lpwstr/>
  </property>
  <property fmtid="{D5CDD505-2E9C-101B-9397-08002B2CF9AE}" pid="4" name="Directorate">
    <vt:lpwstr>97;#Member Services|eefbe017-e581-4662-841c-74bd67528efc</vt:lpwstr>
  </property>
  <property fmtid="{D5CDD505-2E9C-101B-9397-08002B2CF9AE}" pid="5" name="_dlc_DocIdItemGuid">
    <vt:lpwstr>45f64d72-1f8c-4e70-92cd-79fbab2e6bcf</vt:lpwstr>
  </property>
</Properties>
</file>